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7" w:type="dxa"/>
        <w:tblInd w:w="-911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00"/>
        <w:gridCol w:w="774"/>
        <w:gridCol w:w="5427"/>
        <w:gridCol w:w="3156"/>
      </w:tblGrid>
      <w:tr w:rsidR="001C3E82" w14:paraId="6B1DE5F4" w14:textId="77777777" w:rsidTr="005E3938">
        <w:trPr>
          <w:cantSplit/>
          <w:trHeight w:val="727"/>
        </w:trPr>
        <w:tc>
          <w:tcPr>
            <w:tcW w:w="1119" w:type="pct"/>
            <w:gridSpan w:val="2"/>
            <w:tcBorders>
              <w:top w:val="single" w:sz="48" w:space="0" w:color="EE0000"/>
              <w:left w:val="single" w:sz="48" w:space="0" w:color="EE0000"/>
              <w:bottom w:val="single" w:sz="18" w:space="0" w:color="EE0000"/>
              <w:right w:val="single" w:sz="18" w:space="0" w:color="EE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0693F2" w14:textId="77777777" w:rsidR="001C3E82" w:rsidRDefault="001C3E82">
            <w:pPr>
              <w:rPr>
                <w:sz w:val="20"/>
                <w:szCs w:val="20"/>
              </w:rPr>
            </w:pPr>
          </w:p>
        </w:tc>
        <w:tc>
          <w:tcPr>
            <w:tcW w:w="2454" w:type="pct"/>
            <w:tcBorders>
              <w:top w:val="single" w:sz="48" w:space="0" w:color="EE0000"/>
              <w:left w:val="nil"/>
              <w:bottom w:val="single" w:sz="18" w:space="0" w:color="EE0000"/>
              <w:right w:val="single" w:sz="18" w:space="0" w:color="EE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66571F" w14:textId="77777777" w:rsidR="001C3E82" w:rsidRDefault="001F18C4">
            <w:pPr>
              <w:pStyle w:val="berschrift1"/>
              <w:spacing w:before="48" w:beforeAutospacing="0" w:after="48" w:afterAutospacing="0"/>
              <w:jc w:val="center"/>
              <w:rPr>
                <w:rFonts w:ascii="Arial" w:eastAsia="Times New Roman" w:hAnsi="Arial" w:cs="Arial"/>
                <w:spacing w:val="5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pacing w:val="50"/>
                <w:sz w:val="26"/>
                <w:szCs w:val="26"/>
              </w:rPr>
              <w:t>Betriebsanweisung</w:t>
            </w:r>
          </w:p>
          <w:p w14:paraId="0229208C" w14:textId="77777777" w:rsidR="001C3E82" w:rsidRDefault="001F18C4">
            <w:pPr>
              <w:pStyle w:val="StandardWeb"/>
            </w:pPr>
            <w:r>
              <w:t> </w:t>
            </w:r>
          </w:p>
        </w:tc>
        <w:tc>
          <w:tcPr>
            <w:tcW w:w="1427" w:type="pct"/>
            <w:tcBorders>
              <w:top w:val="single" w:sz="48" w:space="0" w:color="EE0000"/>
              <w:left w:val="nil"/>
              <w:bottom w:val="single" w:sz="18" w:space="0" w:color="EE0000"/>
              <w:right w:val="single" w:sz="48" w:space="0" w:color="EE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ED25DFE" w14:textId="77777777" w:rsidR="001C3E82" w:rsidRDefault="001F18C4">
            <w:pPr>
              <w:pStyle w:val="StandardWeb"/>
              <w:spacing w:before="12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Nr.: </w:t>
            </w:r>
            <w:r>
              <w:rPr>
                <w:rFonts w:ascii="Arial" w:hAnsi="Arial" w:cs="Arial"/>
                <w:sz w:val="16"/>
                <w:szCs w:val="16"/>
              </w:rPr>
              <w:t>     </w:t>
            </w:r>
          </w:p>
          <w:p w14:paraId="676CCFE3" w14:textId="77777777" w:rsidR="001C3E82" w:rsidRDefault="001F18C4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Stand: </w:t>
            </w:r>
            <w:r>
              <w:rPr>
                <w:rFonts w:ascii="Arial" w:hAnsi="Arial" w:cs="Arial"/>
                <w:sz w:val="16"/>
                <w:szCs w:val="16"/>
              </w:rPr>
              <w:t>01.03.2023</w:t>
            </w:r>
          </w:p>
          <w:p w14:paraId="5470168C" w14:textId="35B9821C" w:rsidR="001C3E82" w:rsidRDefault="001F18C4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E3938">
              <w:rPr>
                <w:rFonts w:ascii="Arial" w:hAnsi="Arial" w:cs="Arial"/>
                <w:sz w:val="20"/>
                <w:szCs w:val="20"/>
              </w:rPr>
              <w:t>Unterschrift:</w:t>
            </w:r>
          </w:p>
        </w:tc>
      </w:tr>
      <w:tr w:rsidR="001C3E82" w14:paraId="5C0A7064" w14:textId="77777777" w:rsidTr="0046414D">
        <w:trPr>
          <w:cantSplit/>
        </w:trPr>
        <w:tc>
          <w:tcPr>
            <w:tcW w:w="5000" w:type="pct"/>
            <w:gridSpan w:val="4"/>
            <w:tcBorders>
              <w:top w:val="nil"/>
              <w:left w:val="single" w:sz="48" w:space="0" w:color="EE0000"/>
              <w:bottom w:val="single" w:sz="18" w:space="0" w:color="EE0000"/>
              <w:right w:val="single" w:sz="48" w:space="0" w:color="EE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50BAD76" w14:textId="77777777" w:rsidR="001C3E82" w:rsidRDefault="001F18C4">
            <w:pPr>
              <w:pStyle w:val="StandardWeb"/>
              <w:spacing w:before="80" w:beforeAutospacing="0" w:after="40" w:afterAutospacing="0"/>
              <w:jc w:val="center"/>
              <w:rPr>
                <w:rFonts w:ascii="Arial" w:hAnsi="Arial" w:cs="Arial"/>
                <w:caps/>
                <w:spacing w:val="50"/>
              </w:rPr>
            </w:pPr>
            <w:r>
              <w:rPr>
                <w:rFonts w:ascii="Arial" w:hAnsi="Arial" w:cs="Arial"/>
                <w:b/>
                <w:bCs/>
                <w:caps/>
                <w:spacing w:val="50"/>
              </w:rPr>
              <w:t>Gefahrstoffbezeichnung</w:t>
            </w:r>
          </w:p>
        </w:tc>
      </w:tr>
      <w:tr w:rsidR="001C3E82" w14:paraId="2114D76E" w14:textId="77777777" w:rsidTr="0046414D">
        <w:tc>
          <w:tcPr>
            <w:tcW w:w="5000" w:type="pct"/>
            <w:gridSpan w:val="4"/>
            <w:tcBorders>
              <w:top w:val="nil"/>
              <w:left w:val="single" w:sz="48" w:space="0" w:color="EE0000"/>
              <w:bottom w:val="nil"/>
              <w:right w:val="single" w:sz="48" w:space="0" w:color="EE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14:paraId="17869528" w14:textId="77777777" w:rsidR="001C3E82" w:rsidRDefault="001F18C4">
            <w:pPr>
              <w:pStyle w:val="StandardWeb"/>
              <w:spacing w:before="0" w:beforeAutospacing="0" w:after="0" w:afterAutospacing="0"/>
              <w:jc w:val="center"/>
              <w:rPr>
                <w:rFonts w:ascii="Helvetica" w:hAnsi="Helvetica" w:cs="Helvetica"/>
                <w:sz w:val="28"/>
                <w:szCs w:val="28"/>
              </w:rPr>
            </w:pPr>
            <w:r>
              <w:rPr>
                <w:rFonts w:ascii="Helvetica" w:hAnsi="Helvetica" w:cs="Helvetica"/>
                <w:b/>
                <w:bCs/>
                <w:sz w:val="28"/>
                <w:szCs w:val="28"/>
              </w:rPr>
              <w:t>Doyen Spray In QF</w:t>
            </w:r>
            <w:r>
              <w:rPr>
                <w:rFonts w:ascii="Helvetica" w:hAnsi="Helvetica" w:cs="Helvetica"/>
                <w:sz w:val="28"/>
                <w:szCs w:val="28"/>
              </w:rPr>
              <w:t xml:space="preserve"> </w:t>
            </w:r>
          </w:p>
        </w:tc>
      </w:tr>
      <w:tr w:rsidR="001C3E82" w14:paraId="11AF1AFF" w14:textId="77777777" w:rsidTr="0046414D">
        <w:trPr>
          <w:trHeight w:val="53"/>
        </w:trPr>
        <w:tc>
          <w:tcPr>
            <w:tcW w:w="5000" w:type="pct"/>
            <w:gridSpan w:val="4"/>
            <w:tcBorders>
              <w:top w:val="nil"/>
              <w:left w:val="single" w:sz="48" w:space="0" w:color="EE0000"/>
              <w:bottom w:val="single" w:sz="18" w:space="0" w:color="EE0000"/>
              <w:right w:val="single" w:sz="48" w:space="0" w:color="EE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14:paraId="37995DC5" w14:textId="64FFCA69" w:rsidR="001C3E82" w:rsidRDefault="001C3E82" w:rsidP="0046414D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3E82" w14:paraId="65863156" w14:textId="77777777" w:rsidTr="0046414D">
        <w:tc>
          <w:tcPr>
            <w:tcW w:w="769" w:type="pct"/>
            <w:tcBorders>
              <w:top w:val="nil"/>
              <w:left w:val="single" w:sz="48" w:space="0" w:color="EE0000"/>
              <w:bottom w:val="single" w:sz="18" w:space="0" w:color="EE0000"/>
              <w:right w:val="nil"/>
            </w:tcBorders>
            <w:vAlign w:val="center"/>
            <w:hideMark/>
          </w:tcPr>
          <w:p w14:paraId="05AB669B" w14:textId="77777777" w:rsidR="001C3E82" w:rsidRDefault="001F18C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231" w:type="pct"/>
            <w:gridSpan w:val="3"/>
            <w:tcBorders>
              <w:top w:val="nil"/>
              <w:left w:val="nil"/>
              <w:bottom w:val="single" w:sz="18" w:space="0" w:color="EE0000"/>
              <w:right w:val="single" w:sz="48" w:space="0" w:color="EE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14:paraId="1B8C041B" w14:textId="77777777" w:rsidR="001C3E82" w:rsidRDefault="001F18C4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aps/>
                <w:spacing w:val="50"/>
              </w:rPr>
            </w:pPr>
            <w:r>
              <w:rPr>
                <w:rFonts w:ascii="Arial" w:hAnsi="Arial" w:cs="Arial"/>
                <w:b/>
                <w:bCs/>
                <w:caps/>
                <w:spacing w:val="50"/>
              </w:rPr>
              <w:t>Gefahren für Mensch und Umwelt</w:t>
            </w:r>
          </w:p>
        </w:tc>
      </w:tr>
      <w:tr w:rsidR="001C3E82" w14:paraId="4DAE5978" w14:textId="77777777" w:rsidTr="0046414D">
        <w:tc>
          <w:tcPr>
            <w:tcW w:w="769" w:type="pct"/>
            <w:tcBorders>
              <w:top w:val="nil"/>
              <w:left w:val="single" w:sz="48" w:space="0" w:color="EE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1F8C8D" w14:textId="77777777" w:rsidR="001C3E82" w:rsidRDefault="001F18C4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63AFBC1F" wp14:editId="67D0D60A">
                  <wp:extent cx="952500" cy="9525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5FF509" w14:textId="77777777" w:rsidR="001C3E82" w:rsidRDefault="001F18C4">
            <w:pPr>
              <w:pStyle w:val="StandardWeb"/>
              <w:spacing w:before="48" w:beforeAutospacing="0" w:after="48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Achtung</w:t>
            </w:r>
          </w:p>
        </w:tc>
        <w:tc>
          <w:tcPr>
            <w:tcW w:w="4231" w:type="pct"/>
            <w:gridSpan w:val="3"/>
            <w:tcBorders>
              <w:top w:val="nil"/>
              <w:left w:val="nil"/>
              <w:bottom w:val="nil"/>
              <w:right w:val="single" w:sz="48" w:space="0" w:color="EE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14:paraId="05481EC2" w14:textId="77777777" w:rsidR="001C3E82" w:rsidRDefault="001F18C4">
            <w:pPr>
              <w:pStyle w:val="StandardWeb"/>
              <w:spacing w:before="30" w:beforeAutospacing="0" w:after="3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Wiederholter Kontakt kann zu spröder oder rissiger Haut führen. (EUH066)</w:t>
            </w:r>
            <w:r>
              <w:rPr>
                <w:rFonts w:ascii="Arial" w:hAnsi="Arial" w:cs="Arial"/>
                <w:sz w:val="18"/>
                <w:szCs w:val="18"/>
              </w:rPr>
              <w:br/>
              <w:t>Flüssigkeit und Dampf entzündbar. (H226)</w:t>
            </w:r>
          </w:p>
          <w:p w14:paraId="3AD0ACB4" w14:textId="78B5796A" w:rsidR="001C3E82" w:rsidRDefault="001F18C4">
            <w:pPr>
              <w:pStyle w:val="StandardWeb"/>
              <w:spacing w:before="30" w:beforeAutospacing="0" w:after="3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Bei häufigem Hautkontakt sind Hautentzündungen möglich. Bei Vorhandensein von Zündquellen erhöhte Explosionsgefahr! Erhöhte Entzündungsgefahr bei durchtränktem Material (z.B. Kleidung, Putzlappen).</w:t>
            </w:r>
          </w:p>
          <w:p w14:paraId="727E4004" w14:textId="77777777" w:rsidR="001C3E82" w:rsidRDefault="001F18C4">
            <w:pPr>
              <w:pStyle w:val="StandardWeb"/>
              <w:spacing w:before="30" w:beforeAutospacing="0" w:after="3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Fett"/>
                <w:rFonts w:ascii="Arial" w:hAnsi="Arial" w:cs="Arial"/>
                <w:sz w:val="18"/>
                <w:szCs w:val="18"/>
              </w:rPr>
              <w:t>Gefährliche Reaktionen am Arbeitsplatz sind möglich mit: </w:t>
            </w:r>
            <w:r>
              <w:rPr>
                <w:rFonts w:ascii="Arial" w:hAnsi="Arial" w:cs="Arial"/>
                <w:sz w:val="18"/>
                <w:szCs w:val="18"/>
              </w:rPr>
              <w:t xml:space="preserve"> Bei bestimmungsgemäßer Handhabung und Lagerung treten keine gefährlichen Reaktionen auf.</w:t>
            </w:r>
          </w:p>
          <w:p w14:paraId="706AD65B" w14:textId="77777777" w:rsidR="001C3E82" w:rsidRDefault="001F18C4">
            <w:pPr>
              <w:pStyle w:val="StandardWeb"/>
              <w:spacing w:before="30" w:beforeAutospacing="0" w:after="3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Fett"/>
                <w:rFonts w:ascii="Arial" w:hAnsi="Arial" w:cs="Arial"/>
                <w:sz w:val="18"/>
                <w:szCs w:val="18"/>
              </w:rPr>
              <w:t>Gefahren für die Umwelt: </w:t>
            </w:r>
            <w:r>
              <w:rPr>
                <w:rFonts w:ascii="Arial" w:hAnsi="Arial" w:cs="Arial"/>
                <w:sz w:val="18"/>
                <w:szCs w:val="18"/>
              </w:rPr>
              <w:t xml:space="preserve"> Schwach wassergefährdend (WGK 1)</w:t>
            </w:r>
          </w:p>
        </w:tc>
      </w:tr>
      <w:tr w:rsidR="001C3E82" w14:paraId="7C104EB5" w14:textId="77777777" w:rsidTr="0046414D">
        <w:tc>
          <w:tcPr>
            <w:tcW w:w="769" w:type="pct"/>
            <w:tcBorders>
              <w:top w:val="single" w:sz="18" w:space="0" w:color="EE0000"/>
              <w:left w:val="single" w:sz="48" w:space="0" w:color="EE0000"/>
              <w:bottom w:val="single" w:sz="18" w:space="0" w:color="EE0000"/>
              <w:right w:val="nil"/>
            </w:tcBorders>
            <w:hideMark/>
          </w:tcPr>
          <w:p w14:paraId="34AB268A" w14:textId="77777777" w:rsidR="001C3E82" w:rsidRDefault="001F18C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231" w:type="pct"/>
            <w:gridSpan w:val="3"/>
            <w:tcBorders>
              <w:top w:val="single" w:sz="18" w:space="0" w:color="EE0000"/>
              <w:left w:val="nil"/>
              <w:bottom w:val="single" w:sz="18" w:space="0" w:color="EE0000"/>
              <w:right w:val="single" w:sz="48" w:space="0" w:color="EE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14:paraId="24F23CB9" w14:textId="77777777" w:rsidR="001C3E82" w:rsidRDefault="001F18C4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aps/>
                <w:spacing w:val="50"/>
              </w:rPr>
            </w:pPr>
            <w:r>
              <w:rPr>
                <w:rFonts w:ascii="Arial" w:hAnsi="Arial" w:cs="Arial"/>
                <w:b/>
                <w:bCs/>
                <w:caps/>
                <w:spacing w:val="50"/>
              </w:rPr>
              <w:t>Schutzmassnahmen und Verhaltensregeln</w:t>
            </w:r>
          </w:p>
        </w:tc>
      </w:tr>
      <w:tr w:rsidR="001C3E82" w14:paraId="7BE3BDE4" w14:textId="77777777" w:rsidTr="0046414D">
        <w:tc>
          <w:tcPr>
            <w:tcW w:w="769" w:type="pct"/>
            <w:vMerge w:val="restart"/>
            <w:tcBorders>
              <w:top w:val="nil"/>
              <w:left w:val="single" w:sz="48" w:space="0" w:color="EE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8A87D3A" w14:textId="77777777" w:rsidR="001C3E82" w:rsidRDefault="001F18C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51B0233C" wp14:editId="6D449A53">
                  <wp:extent cx="714375" cy="714375"/>
                  <wp:effectExtent l="0" t="0" r="9525" b="9525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 wp14:anchorId="7BE140B5" wp14:editId="0B7C68F3">
                  <wp:extent cx="714375" cy="714375"/>
                  <wp:effectExtent l="0" t="0" r="9525" b="9525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 wp14:anchorId="3ED2FC3B" wp14:editId="3F2347FD">
                  <wp:extent cx="714375" cy="714375"/>
                  <wp:effectExtent l="0" t="0" r="9525" b="9525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 wp14:anchorId="478D859C" wp14:editId="1B4B7D34">
                  <wp:extent cx="714375" cy="714375"/>
                  <wp:effectExtent l="0" t="0" r="9525" b="9525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1" w:type="pct"/>
            <w:gridSpan w:val="3"/>
            <w:tcBorders>
              <w:top w:val="nil"/>
              <w:left w:val="nil"/>
              <w:bottom w:val="nil"/>
              <w:right w:val="single" w:sz="48" w:space="0" w:color="EE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14:paraId="38EFCFE1" w14:textId="77777777" w:rsidR="005E3938" w:rsidRDefault="001F18C4" w:rsidP="0046414D">
            <w:pPr>
              <w:pStyle w:val="StandardWeb"/>
              <w:spacing w:before="30" w:beforeAutospacing="0" w:after="3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Für eine gute Belüftung des Arbeitsplatzes sorgen. Persönliche Schutzausrüstung</w:t>
            </w:r>
            <w:r w:rsidR="0046414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tragen. Von Hitze, heißen Oberflächen, Funken, offenen Flammen sowie </w:t>
            </w:r>
            <w:r w:rsidR="0046414D">
              <w:rPr>
                <w:rFonts w:ascii="Arial" w:hAnsi="Arial" w:cs="Arial"/>
                <w:sz w:val="18"/>
                <w:szCs w:val="18"/>
              </w:rPr>
              <w:t>anderen Zündquellenarten</w:t>
            </w:r>
            <w:r>
              <w:rPr>
                <w:rFonts w:ascii="Arial" w:hAnsi="Arial" w:cs="Arial"/>
                <w:sz w:val="18"/>
                <w:szCs w:val="18"/>
              </w:rPr>
              <w:t xml:space="preserve"> fernhalten. Nicht rauchen. Behälter und zu befüllende Anlage erden. Nur funkenfreies Werkzeug verwenden. Maßnahmen gegen elektrostatische </w:t>
            </w:r>
            <w:r>
              <w:rPr>
                <w:rFonts w:ascii="Arial" w:hAnsi="Arial" w:cs="Arial"/>
                <w:sz w:val="18"/>
                <w:szCs w:val="18"/>
              </w:rPr>
              <w:br/>
              <w:t>Entladungen treffen. Nicht essen, trinken, rauchen oder schnupfen. Einatmen von Dämpfen oder Nebeln vermeiden. Berührung mit Augen, Haut und Kleidung vermeiden. Hautpflegemittel verwenden.</w:t>
            </w:r>
          </w:p>
          <w:p w14:paraId="51E3500A" w14:textId="59EB74E1" w:rsidR="0046414D" w:rsidRDefault="001F18C4" w:rsidP="0046414D">
            <w:pPr>
              <w:pStyle w:val="StandardWeb"/>
              <w:spacing w:before="30" w:beforeAutospacing="0" w:after="3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Behälter dicht geschlossen an einem kühlen, gut gelüfteten Ort lagern. Behälter nicht dem direkten Sonnenlicht aussetzen! Vorsicht bei Gebinden mit Restmengen, Explosionsgefahr! Die Zusammenlagerungsbeschränkungen sind zu beachten - nur im ausgewiesenen Lagerabschnitt aufbewahren!</w:t>
            </w:r>
          </w:p>
          <w:p w14:paraId="24A82AA2" w14:textId="446AD7BD" w:rsidR="001C3E82" w:rsidRPr="0046414D" w:rsidRDefault="001F18C4" w:rsidP="0046414D">
            <w:pPr>
              <w:pStyle w:val="StandardWeb"/>
              <w:spacing w:before="30" w:beforeAutospacing="0" w:after="3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Fett"/>
                <w:rFonts w:ascii="Arial" w:hAnsi="Arial" w:cs="Arial"/>
                <w:sz w:val="18"/>
                <w:szCs w:val="18"/>
              </w:rPr>
              <w:t>Beschäftigungsbeschränkungen beachten!</w:t>
            </w:r>
            <w:r w:rsidR="0046414D">
              <w:rPr>
                <w:rStyle w:val="Fett"/>
                <w:rFonts w:ascii="Arial" w:hAnsi="Arial" w:cs="Arial"/>
                <w:sz w:val="18"/>
                <w:szCs w:val="18"/>
              </w:rPr>
              <w:t xml:space="preserve"> </w:t>
            </w:r>
            <w:r w:rsidR="0046414D" w:rsidRPr="0046414D">
              <w:rPr>
                <w:rStyle w:val="Fett"/>
                <w:rFonts w:ascii="Arial" w:hAnsi="Arial" w:cs="Arial"/>
                <w:b w:val="0"/>
                <w:bCs w:val="0"/>
                <w:sz w:val="18"/>
                <w:szCs w:val="18"/>
              </w:rPr>
              <w:t>Beschäftigungsverbote oder -beschränkungen Jugendlicher nach § 22 JArbSchG bei Entstehung von Gefahrstoffen beachten.</w:t>
            </w:r>
          </w:p>
          <w:p w14:paraId="6278550D" w14:textId="7DFA54F5" w:rsidR="001C3E82" w:rsidRDefault="001F18C4">
            <w:pPr>
              <w:pStyle w:val="StandardWeb"/>
              <w:spacing w:before="30" w:beforeAutospacing="0" w:after="3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Fett"/>
                <w:rFonts w:ascii="Arial" w:hAnsi="Arial" w:cs="Arial"/>
                <w:sz w:val="18"/>
                <w:szCs w:val="18"/>
              </w:rPr>
              <w:t xml:space="preserve">Augenschutz: </w:t>
            </w:r>
            <w:r>
              <w:rPr>
                <w:rFonts w:ascii="Arial" w:hAnsi="Arial" w:cs="Arial"/>
                <w:sz w:val="18"/>
                <w:szCs w:val="18"/>
              </w:rPr>
              <w:t>Gestellbrille mit Seitenschutz</w:t>
            </w:r>
            <w:r w:rsidR="00ED687C">
              <w:rPr>
                <w:rFonts w:ascii="Arial" w:hAnsi="Arial" w:cs="Arial"/>
                <w:sz w:val="18"/>
                <w:szCs w:val="18"/>
              </w:rPr>
              <w:t xml:space="preserve"> DIN EN 166</w:t>
            </w:r>
          </w:p>
          <w:p w14:paraId="3D63C983" w14:textId="00DF5EF8" w:rsidR="001C3E82" w:rsidRDefault="001F18C4">
            <w:pPr>
              <w:pStyle w:val="StandardWeb"/>
              <w:spacing w:before="30" w:beforeAutospacing="0" w:after="3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Fett"/>
                <w:rFonts w:ascii="Arial" w:hAnsi="Arial" w:cs="Arial"/>
                <w:sz w:val="18"/>
                <w:szCs w:val="18"/>
              </w:rPr>
              <w:t xml:space="preserve">Atemschutz: </w:t>
            </w:r>
            <w:r>
              <w:rPr>
                <w:rFonts w:ascii="Arial" w:hAnsi="Arial" w:cs="Arial"/>
                <w:sz w:val="18"/>
                <w:szCs w:val="18"/>
              </w:rPr>
              <w:t>Bei unzureichender Belüftung Atemschutz tragen. Geeignetes Atemschutzgerät: A2 P</w:t>
            </w:r>
            <w:r w:rsidR="0046414D">
              <w:rPr>
                <w:rFonts w:ascii="Arial" w:hAnsi="Arial" w:cs="Arial"/>
                <w:sz w:val="18"/>
                <w:szCs w:val="18"/>
              </w:rPr>
              <w:t>2.</w:t>
            </w:r>
            <w:r>
              <w:rPr>
                <w:rFonts w:ascii="Arial" w:hAnsi="Arial" w:cs="Arial"/>
                <w:sz w:val="18"/>
                <w:szCs w:val="18"/>
              </w:rPr>
              <w:t xml:space="preserve"> Einzelheiten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zu Einsatzvoraussetzungen und maximalen Einsatzkonzentrationen sind der DGUV Regel 112-190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Benutzung von Atemschutzgeräten zu entnehmen. Atemschutz sollte nur zum Beherrschen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des Restrisikos bei Kurzzeittätigkeiten dienen, wenn alle praktisch durführbaren Schritte zu </w:t>
            </w:r>
            <w:r>
              <w:rPr>
                <w:rFonts w:ascii="Arial" w:hAnsi="Arial" w:cs="Arial"/>
                <w:sz w:val="18"/>
                <w:szCs w:val="18"/>
              </w:rPr>
              <w:br/>
              <w:t>Gefährdungsreduzierung an der Gefahrquelle eingehalten wurden</w:t>
            </w:r>
            <w:r w:rsidR="009C7DB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8366EBF" w14:textId="77777777" w:rsidR="001C3E82" w:rsidRDefault="001F18C4">
            <w:pPr>
              <w:pStyle w:val="StandardWeb"/>
              <w:spacing w:before="30" w:beforeAutospacing="0" w:after="3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Fett"/>
                <w:rFonts w:ascii="Arial" w:hAnsi="Arial" w:cs="Arial"/>
                <w:sz w:val="18"/>
                <w:szCs w:val="18"/>
              </w:rPr>
              <w:t xml:space="preserve">Handschutz: </w:t>
            </w:r>
            <w:r>
              <w:rPr>
                <w:rFonts w:ascii="Arial" w:hAnsi="Arial" w:cs="Arial"/>
                <w:sz w:val="18"/>
                <w:szCs w:val="18"/>
              </w:rPr>
              <w:t xml:space="preserve">Geprüfte Schutzhandschuhe sind zu tragen EN ISO 374 Geeignetes Material:NBR (Nitrilkautschuk)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Durchbruchszeit: 480 min Bei beabsichtigter Wiederverwendung Handschuhe vor dem Ausziehen reinigen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und gut durchlüftet aufbewahren. Durchbruchszeiten und Quelleigenschaften des Materials sind zu </w:t>
            </w:r>
            <w:r>
              <w:rPr>
                <w:rFonts w:ascii="Arial" w:hAnsi="Arial" w:cs="Arial"/>
                <w:sz w:val="18"/>
                <w:szCs w:val="18"/>
              </w:rPr>
              <w:br/>
              <w:t>berücksichtigen.</w:t>
            </w:r>
          </w:p>
          <w:p w14:paraId="0498FB0C" w14:textId="09C9B4D3" w:rsidR="001C3E82" w:rsidRDefault="001F18C4">
            <w:pPr>
              <w:pStyle w:val="StandardWeb"/>
              <w:spacing w:before="30" w:beforeAutospacing="0" w:after="3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Fett"/>
                <w:rFonts w:ascii="Arial" w:hAnsi="Arial" w:cs="Arial"/>
                <w:sz w:val="18"/>
                <w:szCs w:val="18"/>
              </w:rPr>
              <w:t xml:space="preserve">Schutzkleidung: </w:t>
            </w:r>
            <w:r>
              <w:rPr>
                <w:rFonts w:ascii="Arial" w:hAnsi="Arial" w:cs="Arial"/>
                <w:sz w:val="18"/>
                <w:szCs w:val="18"/>
              </w:rPr>
              <w:t xml:space="preserve">Antistatische und flammhemmende Schutzkleidung, z.B. Kleidung aus Baumwolle und Schuhe mit antistatischen Sohlen! Saubere, trockene und </w:t>
            </w:r>
            <w:r w:rsidR="0046414D">
              <w:rPr>
                <w:rFonts w:ascii="Arial" w:hAnsi="Arial" w:cs="Arial"/>
                <w:sz w:val="18"/>
                <w:szCs w:val="18"/>
              </w:rPr>
              <w:t>enganliegende</w:t>
            </w:r>
            <w:r>
              <w:rPr>
                <w:rFonts w:ascii="Arial" w:hAnsi="Arial" w:cs="Arial"/>
                <w:sz w:val="18"/>
                <w:szCs w:val="18"/>
              </w:rPr>
              <w:t xml:space="preserve"> Kleidung aus Naturfasern.</w:t>
            </w:r>
          </w:p>
        </w:tc>
      </w:tr>
      <w:tr w:rsidR="001C3E82" w14:paraId="58E08856" w14:textId="77777777" w:rsidTr="0046414D">
        <w:tc>
          <w:tcPr>
            <w:tcW w:w="769" w:type="pct"/>
            <w:vMerge/>
            <w:tcBorders>
              <w:top w:val="nil"/>
              <w:left w:val="single" w:sz="48" w:space="0" w:color="EE0000"/>
              <w:bottom w:val="nil"/>
              <w:right w:val="nil"/>
            </w:tcBorders>
            <w:vAlign w:val="center"/>
            <w:hideMark/>
          </w:tcPr>
          <w:p w14:paraId="6AF8DF6B" w14:textId="77777777" w:rsidR="001C3E82" w:rsidRDefault="001C3E82">
            <w:pPr>
              <w:rPr>
                <w:rFonts w:eastAsia="Times New Roman"/>
              </w:rPr>
            </w:pPr>
          </w:p>
        </w:tc>
        <w:tc>
          <w:tcPr>
            <w:tcW w:w="2804" w:type="pct"/>
            <w:gridSpan w:val="2"/>
            <w:tcBorders>
              <w:top w:val="single" w:sz="18" w:space="0" w:color="EE0000"/>
              <w:left w:val="single" w:sz="18" w:space="0" w:color="EE0000"/>
              <w:bottom w:val="single" w:sz="18" w:space="0" w:color="EE0000"/>
              <w:right w:val="nil"/>
            </w:tcBorders>
            <w:noWrap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14:paraId="689FF4FE" w14:textId="77777777" w:rsidR="001C3E82" w:rsidRDefault="001F18C4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aps/>
                <w:spacing w:val="50"/>
              </w:rPr>
            </w:pPr>
            <w:r>
              <w:rPr>
                <w:rFonts w:ascii="Arial" w:hAnsi="Arial" w:cs="Arial"/>
                <w:b/>
                <w:bCs/>
                <w:caps/>
                <w:spacing w:val="50"/>
              </w:rPr>
              <w:t>Verhalten im Gefahrfall</w:t>
            </w:r>
          </w:p>
        </w:tc>
        <w:tc>
          <w:tcPr>
            <w:tcW w:w="1427" w:type="pct"/>
            <w:tcBorders>
              <w:top w:val="single" w:sz="18" w:space="0" w:color="EE0000"/>
              <w:left w:val="nil"/>
              <w:bottom w:val="single" w:sz="18" w:space="0" w:color="EE0000"/>
              <w:right w:val="single" w:sz="48" w:space="0" w:color="EE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14:paraId="5B86AE7B" w14:textId="77777777" w:rsidR="001C3E82" w:rsidRDefault="001F18C4">
            <w:pPr>
              <w:pStyle w:val="Standard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Feuerwehr </w:t>
            </w:r>
          </w:p>
        </w:tc>
      </w:tr>
      <w:tr w:rsidR="001C3E82" w14:paraId="0A91B970" w14:textId="77777777" w:rsidTr="0046414D">
        <w:tc>
          <w:tcPr>
            <w:tcW w:w="769" w:type="pct"/>
            <w:vMerge/>
            <w:tcBorders>
              <w:top w:val="nil"/>
              <w:left w:val="single" w:sz="48" w:space="0" w:color="EE0000"/>
              <w:bottom w:val="nil"/>
              <w:right w:val="nil"/>
            </w:tcBorders>
            <w:vAlign w:val="center"/>
            <w:hideMark/>
          </w:tcPr>
          <w:p w14:paraId="38DB3B69" w14:textId="77777777" w:rsidR="001C3E82" w:rsidRDefault="001C3E82">
            <w:pPr>
              <w:rPr>
                <w:rFonts w:eastAsia="Times New Roman"/>
              </w:rPr>
            </w:pPr>
          </w:p>
        </w:tc>
        <w:tc>
          <w:tcPr>
            <w:tcW w:w="4231" w:type="pct"/>
            <w:gridSpan w:val="3"/>
            <w:tcBorders>
              <w:top w:val="nil"/>
              <w:left w:val="nil"/>
              <w:bottom w:val="nil"/>
              <w:right w:val="single" w:sz="48" w:space="0" w:color="EE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14:paraId="35E76EC8" w14:textId="6306B30B" w:rsidR="001C3E82" w:rsidRDefault="001F18C4" w:rsidP="00D72107">
            <w:pPr>
              <w:pStyle w:val="StandardWeb"/>
              <w:spacing w:before="30" w:beforeAutospacing="0" w:after="3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Gefahrenbereich räumen und absperren, Vorgesetzten informieren. Bei der Beseitigung von ausgelaufenem/verschütteten Produkt immer Schutzbrille und Handschuhe tragen. </w:t>
            </w:r>
            <w:r w:rsidR="0046414D">
              <w:rPr>
                <w:rFonts w:ascii="Arial" w:hAnsi="Arial" w:cs="Arial"/>
                <w:sz w:val="18"/>
                <w:szCs w:val="18"/>
              </w:rPr>
              <w:t>Mit saugfähigem unbrennbarem Material</w:t>
            </w:r>
            <w:r>
              <w:rPr>
                <w:rFonts w:ascii="Arial" w:hAnsi="Arial" w:cs="Arial"/>
                <w:sz w:val="18"/>
                <w:szCs w:val="18"/>
              </w:rPr>
              <w:t xml:space="preserve"> (z.B. Kieselgur, Sand) aufnehmen und entsorgen!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Produkt ist brennbar. Entstehungsbrand: Tragbaren Feuerlöscher einsetzen, mindestens für Brandklasse "B". Nicht zu verwenden: Wasser im Vollstrahl! Bei Brand in der Umgebung Behälter mit Sprühwasser kühlen. Berst- und Explosionsgefahr bei starker Erwärmung! Alarm-, Flucht- und Rettungspläne beachten. Feuerwehr alarmieren. </w:t>
            </w:r>
          </w:p>
        </w:tc>
      </w:tr>
      <w:tr w:rsidR="001C3E82" w14:paraId="6C1AFE36" w14:textId="77777777" w:rsidTr="0046414D">
        <w:tc>
          <w:tcPr>
            <w:tcW w:w="769" w:type="pct"/>
            <w:tcBorders>
              <w:top w:val="single" w:sz="18" w:space="0" w:color="EE0000"/>
              <w:left w:val="single" w:sz="48" w:space="0" w:color="EE0000"/>
              <w:bottom w:val="single" w:sz="18" w:space="0" w:color="EE0000"/>
              <w:right w:val="nil"/>
            </w:tcBorders>
            <w:hideMark/>
          </w:tcPr>
          <w:p w14:paraId="1383BBCE" w14:textId="77777777" w:rsidR="001C3E82" w:rsidRDefault="001F18C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804" w:type="pct"/>
            <w:gridSpan w:val="2"/>
            <w:tcBorders>
              <w:top w:val="single" w:sz="18" w:space="0" w:color="EE0000"/>
              <w:left w:val="nil"/>
              <w:bottom w:val="single" w:sz="18" w:space="0" w:color="EE0000"/>
              <w:right w:val="nil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14:paraId="3FC89791" w14:textId="77777777" w:rsidR="001C3E82" w:rsidRDefault="001F18C4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aps/>
                <w:spacing w:val="50"/>
              </w:rPr>
            </w:pPr>
            <w:r>
              <w:rPr>
                <w:rFonts w:ascii="Arial" w:hAnsi="Arial" w:cs="Arial"/>
                <w:b/>
                <w:bCs/>
                <w:caps/>
                <w:spacing w:val="50"/>
              </w:rPr>
              <w:t>Erste Hilfe</w:t>
            </w:r>
          </w:p>
        </w:tc>
        <w:tc>
          <w:tcPr>
            <w:tcW w:w="1427" w:type="pct"/>
            <w:tcBorders>
              <w:top w:val="single" w:sz="18" w:space="0" w:color="EE0000"/>
              <w:left w:val="nil"/>
              <w:bottom w:val="single" w:sz="18" w:space="0" w:color="EE0000"/>
              <w:right w:val="single" w:sz="48" w:space="0" w:color="EE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14:paraId="0D6B6554" w14:textId="77777777" w:rsidR="001C3E82" w:rsidRDefault="001F18C4">
            <w:pPr>
              <w:pStyle w:val="Standard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Notruf </w:t>
            </w:r>
          </w:p>
        </w:tc>
      </w:tr>
      <w:tr w:rsidR="001C3E82" w14:paraId="22531B69" w14:textId="77777777" w:rsidTr="0046414D">
        <w:tc>
          <w:tcPr>
            <w:tcW w:w="769" w:type="pct"/>
            <w:tcBorders>
              <w:top w:val="nil"/>
              <w:left w:val="single" w:sz="48" w:space="0" w:color="EE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2974E62" w14:textId="77777777" w:rsidR="001C3E82" w:rsidRDefault="001F18C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3A0EEAF7" wp14:editId="6958CC9C">
                  <wp:extent cx="714375" cy="714375"/>
                  <wp:effectExtent l="0" t="0" r="9525" b="9525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1" w:type="pct"/>
            <w:gridSpan w:val="3"/>
            <w:tcBorders>
              <w:top w:val="nil"/>
              <w:left w:val="nil"/>
              <w:bottom w:val="nil"/>
              <w:right w:val="single" w:sz="48" w:space="0" w:color="EE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14:paraId="61A6EDAD" w14:textId="77777777" w:rsidR="001C3E82" w:rsidRDefault="001F18C4">
            <w:pPr>
              <w:pStyle w:val="StandardWeb"/>
              <w:spacing w:before="30" w:beforeAutospacing="0" w:after="3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Fett"/>
                <w:rFonts w:ascii="Arial" w:hAnsi="Arial" w:cs="Arial"/>
                <w:sz w:val="18"/>
                <w:szCs w:val="18"/>
              </w:rPr>
              <w:t xml:space="preserve">Bei jeder Erste-Hilfe-Maßnahme: </w:t>
            </w:r>
            <w:r>
              <w:rPr>
                <w:rFonts w:ascii="Arial" w:hAnsi="Arial" w:cs="Arial"/>
                <w:sz w:val="18"/>
                <w:szCs w:val="18"/>
              </w:rPr>
              <w:t xml:space="preserve">Auf Selbstschutz achten. Ärztliche bzw. augenärztliche Behandlung. </w:t>
            </w:r>
          </w:p>
          <w:p w14:paraId="5BF8EB26" w14:textId="77777777" w:rsidR="001C3E82" w:rsidRDefault="001F18C4">
            <w:pPr>
              <w:pStyle w:val="StandardWeb"/>
              <w:spacing w:before="30" w:beforeAutospacing="0" w:after="3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Nach Augenkontakt: Sofort unter Schutz des unverletzten Auges ausgiebig (ca. 10 Minuten) bei geöffneten Lidern mit Wasser spülen. </w:t>
            </w:r>
          </w:p>
          <w:p w14:paraId="776200D2" w14:textId="08646E4E" w:rsidR="001C3E82" w:rsidRDefault="001F18C4">
            <w:pPr>
              <w:pStyle w:val="StandardWeb"/>
              <w:spacing w:before="30" w:beforeAutospacing="0" w:after="3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Fett"/>
                <w:rFonts w:ascii="Arial" w:hAnsi="Arial" w:cs="Arial"/>
                <w:sz w:val="18"/>
                <w:szCs w:val="18"/>
              </w:rPr>
              <w:t xml:space="preserve">Nach Hautkontakt: </w:t>
            </w:r>
            <w:r>
              <w:rPr>
                <w:rFonts w:ascii="Arial" w:hAnsi="Arial" w:cs="Arial"/>
                <w:sz w:val="18"/>
                <w:szCs w:val="18"/>
              </w:rPr>
              <w:t>Verunreinigte Kleidung, auch Unterwäsche und Schuhe, sofort ausziehen. Haut mit viel</w:t>
            </w:r>
            <w:r w:rsidR="00FB7CC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Wasser spülen. </w:t>
            </w:r>
          </w:p>
          <w:p w14:paraId="05C66756" w14:textId="44EAB65A" w:rsidR="001C3E82" w:rsidRDefault="001F18C4">
            <w:pPr>
              <w:pStyle w:val="StandardWeb"/>
              <w:spacing w:before="30" w:beforeAutospacing="0" w:after="3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Fett"/>
                <w:rFonts w:ascii="Arial" w:hAnsi="Arial" w:cs="Arial"/>
                <w:sz w:val="18"/>
                <w:szCs w:val="18"/>
              </w:rPr>
              <w:t xml:space="preserve">Nach Einatmen: </w:t>
            </w:r>
            <w:r>
              <w:rPr>
                <w:rFonts w:ascii="Arial" w:hAnsi="Arial" w:cs="Arial"/>
                <w:sz w:val="18"/>
                <w:szCs w:val="18"/>
              </w:rPr>
              <w:t xml:space="preserve">Verletzten unter Selbstschutz aus dem Gefahrenbereich bringen. </w:t>
            </w:r>
          </w:p>
          <w:p w14:paraId="1CA93496" w14:textId="1336601E" w:rsidR="001C3E82" w:rsidRDefault="001F18C4" w:rsidP="00D72107">
            <w:pPr>
              <w:pStyle w:val="StandardWeb"/>
              <w:spacing w:before="30" w:beforeAutospacing="0" w:after="3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Fett"/>
                <w:rFonts w:ascii="Arial" w:hAnsi="Arial" w:cs="Arial"/>
                <w:sz w:val="18"/>
                <w:szCs w:val="18"/>
              </w:rPr>
              <w:t xml:space="preserve">Nach Verschlucken: </w:t>
            </w:r>
            <w:r>
              <w:rPr>
                <w:rFonts w:ascii="Arial" w:hAnsi="Arial" w:cs="Arial"/>
                <w:sz w:val="18"/>
                <w:szCs w:val="18"/>
              </w:rPr>
              <w:t xml:space="preserve">Sofortiges kräftiges Ausspülen des Mundes. </w:t>
            </w:r>
            <w:r w:rsidR="00ED687C" w:rsidRPr="00ED687C">
              <w:rPr>
                <w:rFonts w:ascii="Arial" w:hAnsi="Arial" w:cs="Arial"/>
                <w:sz w:val="18"/>
                <w:szCs w:val="18"/>
              </w:rPr>
              <w:t>Kein Erbrechen herbeiführen.</w:t>
            </w:r>
          </w:p>
        </w:tc>
      </w:tr>
      <w:tr w:rsidR="001C3E82" w14:paraId="76CDCEFD" w14:textId="77777777" w:rsidTr="0046414D">
        <w:tc>
          <w:tcPr>
            <w:tcW w:w="769" w:type="pct"/>
            <w:tcBorders>
              <w:top w:val="single" w:sz="18" w:space="0" w:color="EE0000"/>
              <w:left w:val="single" w:sz="48" w:space="0" w:color="EE0000"/>
              <w:bottom w:val="single" w:sz="18" w:space="0" w:color="EE0000"/>
              <w:right w:val="nil"/>
            </w:tcBorders>
            <w:hideMark/>
          </w:tcPr>
          <w:p w14:paraId="694F5878" w14:textId="77777777" w:rsidR="001C3E82" w:rsidRDefault="001F18C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231" w:type="pct"/>
            <w:gridSpan w:val="3"/>
            <w:tcBorders>
              <w:top w:val="single" w:sz="18" w:space="0" w:color="EE0000"/>
              <w:left w:val="nil"/>
              <w:bottom w:val="single" w:sz="18" w:space="0" w:color="EE0000"/>
              <w:right w:val="single" w:sz="48" w:space="0" w:color="EE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14:paraId="2401DED1" w14:textId="77777777" w:rsidR="001C3E82" w:rsidRDefault="001F18C4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aps/>
                <w:spacing w:val="50"/>
              </w:rPr>
            </w:pPr>
            <w:r>
              <w:rPr>
                <w:rFonts w:ascii="Arial" w:hAnsi="Arial" w:cs="Arial"/>
                <w:b/>
                <w:bCs/>
                <w:caps/>
                <w:spacing w:val="50"/>
              </w:rPr>
              <w:t>Sachgerechte Entsorgung</w:t>
            </w:r>
          </w:p>
        </w:tc>
      </w:tr>
      <w:tr w:rsidR="001C3E82" w14:paraId="0E9ABCCD" w14:textId="77777777" w:rsidTr="0046414D">
        <w:tc>
          <w:tcPr>
            <w:tcW w:w="769" w:type="pct"/>
            <w:tcBorders>
              <w:top w:val="nil"/>
              <w:left w:val="single" w:sz="48" w:space="0" w:color="EE0000"/>
              <w:bottom w:val="single" w:sz="48" w:space="0" w:color="EE0000"/>
              <w:right w:val="nil"/>
            </w:tcBorders>
            <w:hideMark/>
          </w:tcPr>
          <w:p w14:paraId="508AC2A9" w14:textId="77777777" w:rsidR="001C3E82" w:rsidRDefault="001F18C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231" w:type="pct"/>
            <w:gridSpan w:val="3"/>
            <w:tcBorders>
              <w:top w:val="nil"/>
              <w:left w:val="nil"/>
              <w:bottom w:val="single" w:sz="48" w:space="0" w:color="EE0000"/>
              <w:right w:val="single" w:sz="48" w:space="0" w:color="EE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14:paraId="765AA5E2" w14:textId="77777777" w:rsidR="001C3E82" w:rsidRDefault="001F18C4">
            <w:pPr>
              <w:pStyle w:val="StandardWeb"/>
              <w:spacing w:before="30" w:beforeAutospacing="0" w:after="3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Entsorgung muss gemäß den behördlichen Vorschriften erfolgen. Europäischer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Abfallkatalog. Nicht in die Kanalisation oder die Umwelt gelangen lassen. Nicht </w:t>
            </w:r>
            <w:r>
              <w:rPr>
                <w:rFonts w:ascii="Arial" w:hAnsi="Arial" w:cs="Arial"/>
                <w:sz w:val="18"/>
                <w:szCs w:val="18"/>
              </w:rPr>
              <w:br/>
              <w:t>zusammen mit dem Hausmüll entsorgen</w:t>
            </w:r>
          </w:p>
        </w:tc>
      </w:tr>
    </w:tbl>
    <w:p w14:paraId="6149B4F3" w14:textId="77777777" w:rsidR="001C3E82" w:rsidRDefault="001C3E82">
      <w:pPr>
        <w:rPr>
          <w:rFonts w:eastAsia="Times New Roman"/>
        </w:rPr>
      </w:pPr>
    </w:p>
    <w:sectPr w:rsidR="001C3E82" w:rsidSect="005E3938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14D"/>
    <w:rsid w:val="001C3E82"/>
    <w:rsid w:val="001F18C4"/>
    <w:rsid w:val="0046414D"/>
    <w:rsid w:val="004F39FE"/>
    <w:rsid w:val="005E3938"/>
    <w:rsid w:val="00986E8E"/>
    <w:rsid w:val="009C7DBD"/>
    <w:rsid w:val="00D72107"/>
    <w:rsid w:val="00ED687C"/>
    <w:rsid w:val="00FB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023A2B"/>
  <w15:chartTrackingRefBased/>
  <w15:docId w15:val="{D0C9AEE5-0545-438C-B171-D2DDB8B86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Theme="minorEastAsia"/>
      <w:sz w:val="24"/>
      <w:szCs w:val="24"/>
    </w:rPr>
  </w:style>
  <w:style w:type="paragraph" w:styleId="berschrift1">
    <w:name w:val="heading 1"/>
    <w:basedOn w:val="Standard"/>
    <w:link w:val="berschrift1Zchn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sonormal0">
    <w:name w:val="msonormal"/>
    <w:basedOn w:val="Standard"/>
    <w:pPr>
      <w:spacing w:before="100" w:beforeAutospacing="1" w:after="100" w:afterAutospacing="1"/>
    </w:pPr>
  </w:style>
  <w:style w:type="paragraph" w:styleId="StandardWeb">
    <w:name w:val="Normal (Web)"/>
    <w:basedOn w:val="Standard"/>
    <w:uiPriority w:val="99"/>
    <w:semiHidden/>
    <w:unhideWhenUsed/>
    <w:pPr>
      <w:spacing w:before="100" w:beforeAutospacing="1" w:after="100" w:afterAutospacing="1"/>
    </w:p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ett">
    <w:name w:val="Strong"/>
    <w:basedOn w:val="Absatz-Standardschriftar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www.gischem.de/images/symbole/handschuhe.gif" TargetMode="External"/><Relationship Id="rId3" Type="http://schemas.openxmlformats.org/officeDocument/2006/relationships/webSettings" Target="webSettings.xml"/><Relationship Id="rId7" Type="http://schemas.openxmlformats.org/officeDocument/2006/relationships/image" Target="https://www.gischem.de/images/symbole/atemschutz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www.gischem.de/images/symbole/schutzbrille.gif" TargetMode="External"/><Relationship Id="rId11" Type="http://schemas.openxmlformats.org/officeDocument/2006/relationships/theme" Target="theme/theme1.xml"/><Relationship Id="rId5" Type="http://schemas.openxmlformats.org/officeDocument/2006/relationships/image" Target="https://www.gischem.de/images/symbole/feuer.gif" TargetMode="External"/><Relationship Id="rId10" Type="http://schemas.openxmlformats.org/officeDocument/2006/relationships/fontTable" Target="fontTable.xml"/><Relationship Id="rId4" Type="http://schemas.openxmlformats.org/officeDocument/2006/relationships/image" Target="https://www.gischem.de/images/ghs100/GHS02.jpg" TargetMode="External"/><Relationship Id="rId9" Type="http://schemas.openxmlformats.org/officeDocument/2006/relationships/image" Target="https://www.gischem.de/images/symbole/erste_hilfe.gif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 Gefahrstoffe (Vordruck)</vt:lpstr>
    </vt:vector>
  </TitlesOfParts>
  <Company>etol Eberhard Tripp GmbH</Company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 Gefahrstoffe (Vordruck)</dc:title>
  <dc:subject/>
  <dc:creator>Gand, Daniel</dc:creator>
  <cp:keywords/>
  <dc:description/>
  <cp:lastModifiedBy>Gand, Daniel</cp:lastModifiedBy>
  <cp:revision>5</cp:revision>
  <dcterms:created xsi:type="dcterms:W3CDTF">2023-03-01T11:50:00Z</dcterms:created>
  <dcterms:modified xsi:type="dcterms:W3CDTF">2023-03-01T11:58:00Z</dcterms:modified>
</cp:coreProperties>
</file>