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6F45DB" w:rsidTr="00D07205">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F45DB" w:rsidRDefault="006F45D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F45DB" w:rsidRDefault="006F45D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F45DB" w:rsidRPr="004407CB" w:rsidRDefault="00D07205">
            <w:pPr>
              <w:pStyle w:val="StandardWeb"/>
              <w:jc w:val="center"/>
              <w:rPr>
                <w:rFonts w:ascii="Arial" w:hAnsi="Arial" w:cs="Arial"/>
                <w:b/>
                <w:bCs/>
                <w:lang w:val="en-GB"/>
              </w:rPr>
            </w:pPr>
            <w:r w:rsidRPr="004407CB">
              <w:rPr>
                <w:rFonts w:ascii="Arial" w:hAnsi="Arial" w:cs="Arial"/>
                <w:b/>
                <w:bCs/>
                <w:lang w:val="en-GB"/>
              </w:rPr>
              <w:t xml:space="preserve">B e t r </w:t>
            </w:r>
            <w:proofErr w:type="spellStart"/>
            <w:r w:rsidRPr="004407CB">
              <w:rPr>
                <w:rFonts w:ascii="Arial" w:hAnsi="Arial" w:cs="Arial"/>
                <w:b/>
                <w:bCs/>
                <w:lang w:val="en-GB"/>
              </w:rPr>
              <w:t>i</w:t>
            </w:r>
            <w:proofErr w:type="spellEnd"/>
            <w:r w:rsidRPr="004407CB">
              <w:rPr>
                <w:rFonts w:ascii="Arial" w:hAnsi="Arial" w:cs="Arial"/>
                <w:b/>
                <w:bCs/>
                <w:lang w:val="en-GB"/>
              </w:rPr>
              <w:t xml:space="preserve"> e b s a n w e </w:t>
            </w:r>
            <w:proofErr w:type="spellStart"/>
            <w:r w:rsidRPr="004407CB">
              <w:rPr>
                <w:rFonts w:ascii="Arial" w:hAnsi="Arial" w:cs="Arial"/>
                <w:b/>
                <w:bCs/>
                <w:lang w:val="en-GB"/>
              </w:rPr>
              <w:t>i</w:t>
            </w:r>
            <w:proofErr w:type="spellEnd"/>
            <w:r w:rsidRPr="004407CB">
              <w:rPr>
                <w:rFonts w:ascii="Arial" w:hAnsi="Arial" w:cs="Arial"/>
                <w:b/>
                <w:bCs/>
                <w:lang w:val="en-GB"/>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6F45DB" w:rsidRDefault="00D07205" w:rsidP="008E323E">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8E323E" w:rsidRPr="008E323E">
              <w:rPr>
                <w:rFonts w:ascii="Arial" w:eastAsia="Times New Roman" w:hAnsi="Arial" w:cs="Arial"/>
                <w:bCs/>
                <w:sz w:val="15"/>
                <w:szCs w:val="15"/>
              </w:rPr>
              <w:t>06.06.2018</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F45DB" w:rsidRDefault="00D0720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F45DB" w:rsidRDefault="0009026C">
            <w:pPr>
              <w:pStyle w:val="StandardWeb"/>
              <w:jc w:val="center"/>
            </w:pPr>
            <w:r>
              <w:rPr>
                <w:rFonts w:ascii="Arial" w:hAnsi="Arial" w:cs="Arial"/>
                <w:b/>
                <w:bCs/>
              </w:rPr>
              <w:t>Doyen F 40</w:t>
            </w:r>
            <w:r>
              <w:t xml:space="preserve"> </w:t>
            </w:r>
            <w:r>
              <w:rPr>
                <w:rFonts w:ascii="Arial" w:hAnsi="Arial" w:cs="Arial"/>
                <w:sz w:val="15"/>
                <w:szCs w:val="15"/>
              </w:rPr>
              <w:br/>
              <w:t>Desinfektionsreiniger</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F45DB" w:rsidRDefault="00D0720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9.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F45DB" w:rsidRDefault="00D0720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9026C" w:rsidRDefault="0009026C" w:rsidP="0009026C">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Augenschäden. (H318)</w:t>
            </w:r>
            <w:r>
              <w:rPr>
                <w:rFonts w:ascii="Arial" w:hAnsi="Arial" w:cs="Arial"/>
                <w:sz w:val="15"/>
                <w:szCs w:val="15"/>
              </w:rPr>
              <w:br/>
              <w:t>Sehr giftig für Wasserorganismen. (H4</w:t>
            </w:r>
            <w:r w:rsidR="008E323E">
              <w:rPr>
                <w:rFonts w:ascii="Arial" w:hAnsi="Arial" w:cs="Arial"/>
                <w:sz w:val="15"/>
                <w:szCs w:val="15"/>
              </w:rPr>
              <w:t>0</w:t>
            </w:r>
            <w:r>
              <w:rPr>
                <w:rFonts w:ascii="Arial" w:hAnsi="Arial" w:cs="Arial"/>
                <w:sz w:val="15"/>
                <w:szCs w:val="15"/>
              </w:rPr>
              <w:t>0)</w:t>
            </w:r>
          </w:p>
          <w:p w:rsidR="0009026C" w:rsidRDefault="0009026C" w:rsidP="0009026C">
            <w:pPr>
              <w:pStyle w:val="StandardWeb"/>
              <w:rPr>
                <w:rFonts w:ascii="Arial" w:hAnsi="Arial" w:cs="Arial"/>
                <w:sz w:val="15"/>
                <w:szCs w:val="15"/>
              </w:rPr>
            </w:pPr>
            <w:r>
              <w:rPr>
                <w:rFonts w:ascii="Arial" w:hAnsi="Arial" w:cs="Arial"/>
                <w:sz w:val="15"/>
                <w:szCs w:val="15"/>
              </w:rPr>
              <w:t>Gefahr irreversibler Schäden am Auge durch Verätzungen!</w:t>
            </w:r>
          </w:p>
          <w:p w:rsidR="006F45DB" w:rsidRDefault="0009026C" w:rsidP="0009026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F45DB" w:rsidRDefault="00D07205">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F45DB" w:rsidRDefault="0009026C" w:rsidP="0009026C">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F45DB" w:rsidRDefault="00D0720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F45DB" w:rsidRDefault="00D0720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F45DB" w:rsidRDefault="00D0720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F45DB" w:rsidRDefault="0009026C" w:rsidP="0009026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Unfalltelefon: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F45DB" w:rsidRDefault="00D0720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F45DB" w:rsidRDefault="00D07205">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F45DB" w:rsidRDefault="0009026C">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F45DB" w:rsidRDefault="00D0720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F45DB" w:rsidRDefault="00D0720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F45DB" w:rsidRDefault="00D07205">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r w:rsidR="006F45DB" w:rsidTr="00D07205">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F45DB" w:rsidRDefault="006F45D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F45DB" w:rsidRDefault="006F45DB">
            <w:pPr>
              <w:rPr>
                <w:rFonts w:eastAsia="Times New Roman"/>
                <w:sz w:val="10"/>
              </w:rPr>
            </w:pPr>
          </w:p>
        </w:tc>
      </w:tr>
    </w:tbl>
    <w:p w:rsidR="006F45DB" w:rsidRDefault="006F45DB">
      <w:pPr>
        <w:rPr>
          <w:rFonts w:eastAsia="Times New Roman"/>
        </w:rPr>
      </w:pPr>
    </w:p>
    <w:sectPr w:rsidR="006F45DB" w:rsidSect="00D07205">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7F7197"/>
    <w:rsid w:val="0009026C"/>
    <w:rsid w:val="004407CB"/>
    <w:rsid w:val="00495130"/>
    <w:rsid w:val="006F45DB"/>
    <w:rsid w:val="007F7197"/>
    <w:rsid w:val="008717EA"/>
    <w:rsid w:val="008E323E"/>
    <w:rsid w:val="009027C5"/>
    <w:rsid w:val="00B155E8"/>
    <w:rsid w:val="00D07205"/>
    <w:rsid w:val="00E642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5D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45DB"/>
    <w:pPr>
      <w:spacing w:before="100" w:beforeAutospacing="1" w:after="100" w:afterAutospacing="1"/>
    </w:pPr>
  </w:style>
  <w:style w:type="character" w:styleId="Fett">
    <w:name w:val="Strong"/>
    <w:basedOn w:val="Absatz-Standardschriftart"/>
    <w:uiPriority w:val="22"/>
    <w:qFormat/>
    <w:rsid w:val="006F45DB"/>
    <w:rPr>
      <w:b/>
      <w:bCs/>
    </w:rPr>
  </w:style>
  <w:style w:type="paragraph" w:styleId="Sprechblasentext">
    <w:name w:val="Balloon Text"/>
    <w:basedOn w:val="Standard"/>
    <w:link w:val="SprechblasentextZchn"/>
    <w:uiPriority w:val="99"/>
    <w:semiHidden/>
    <w:unhideWhenUsed/>
    <w:rsid w:val="00D0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20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9.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2829</Characters>
  <Application>Microsoft Office Word</Application>
  <DocSecurity>0</DocSecurity>
  <Lines>23</Lines>
  <Paragraphs>6</Paragraphs>
  <ScaleCrop>false</ScaleCrop>
  <Company>etol-Werk</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5</cp:revision>
  <dcterms:created xsi:type="dcterms:W3CDTF">2018-05-28T11:05:00Z</dcterms:created>
  <dcterms:modified xsi:type="dcterms:W3CDTF">2018-06-11T06:27:00Z</dcterms:modified>
</cp:coreProperties>
</file>