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5"/>
        <w:tblW w:w="1117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1"/>
        <w:gridCol w:w="782"/>
        <w:gridCol w:w="5480"/>
        <w:gridCol w:w="3047"/>
      </w:tblGrid>
      <w:tr w:rsidR="00000000" w14:paraId="7643F198" w14:textId="77777777">
        <w:trPr>
          <w:cantSplit/>
          <w:trHeight w:val="910"/>
        </w:trPr>
        <w:tc>
          <w:tcPr>
            <w:tcW w:w="1183" w:type="pct"/>
            <w:gridSpan w:val="2"/>
            <w:tcBorders>
              <w:top w:val="single" w:sz="48" w:space="0" w:color="EE0000"/>
              <w:left w:val="single" w:sz="48" w:space="0" w:color="EE0000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358FF" w14:textId="77777777" w:rsidR="00000000" w:rsidRDefault="00162208">
            <w:pPr>
              <w:rPr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8" w:space="0" w:color="EE0000"/>
              <w:left w:val="nil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9F7C5" w14:textId="77777777" w:rsidR="00000000" w:rsidRDefault="00162208">
            <w:pPr>
              <w:pStyle w:val="berschrift1"/>
              <w:spacing w:before="48" w:beforeAutospacing="0" w:after="48" w:afterAutospacing="0"/>
              <w:jc w:val="center"/>
              <w:rPr>
                <w:rFonts w:ascii="Arial" w:eastAsia="Times New Roman" w:hAnsi="Arial" w:cs="Arial"/>
                <w:spacing w:val="5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pacing w:val="50"/>
                <w:sz w:val="26"/>
                <w:szCs w:val="26"/>
              </w:rPr>
              <w:t>Betriebsanweisung</w:t>
            </w:r>
          </w:p>
          <w:p w14:paraId="7272FED4" w14:textId="77777777" w:rsidR="00000000" w:rsidRDefault="00162208">
            <w:pPr>
              <w:pStyle w:val="StandardWeb"/>
            </w:pPr>
            <w:r>
              <w:t> </w:t>
            </w:r>
          </w:p>
        </w:tc>
        <w:tc>
          <w:tcPr>
            <w:tcW w:w="1364" w:type="pct"/>
            <w:tcBorders>
              <w:top w:val="single" w:sz="48" w:space="0" w:color="EE0000"/>
              <w:left w:val="nil"/>
              <w:bottom w:val="single" w:sz="18" w:space="0" w:color="EE0000"/>
              <w:right w:val="single" w:sz="48" w:space="0" w:color="EE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7090C" w14:textId="77777777" w:rsidR="00000000" w:rsidRDefault="0016220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Nr.: </w:t>
            </w:r>
            <w:r>
              <w:rPr>
                <w:rFonts w:ascii="Arial" w:hAnsi="Arial" w:cs="Arial"/>
                <w:sz w:val="16"/>
                <w:szCs w:val="16"/>
              </w:rPr>
              <w:t>     </w:t>
            </w:r>
          </w:p>
          <w:p w14:paraId="6312D8EA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  <w:p w14:paraId="651874C1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  <w:r>
              <w:rPr>
                <w:rFonts w:ascii="Arial" w:hAnsi="Arial" w:cs="Arial"/>
                <w:sz w:val="22"/>
                <w:szCs w:val="22"/>
              </w:rPr>
              <w:br/>
              <w:t> </w:t>
            </w:r>
          </w:p>
        </w:tc>
      </w:tr>
      <w:tr w:rsidR="00000000" w14:paraId="15FA924D" w14:textId="77777777">
        <w:trPr>
          <w:cantSplit/>
          <w:trHeight w:val="356"/>
        </w:trPr>
        <w:tc>
          <w:tcPr>
            <w:tcW w:w="5000" w:type="pct"/>
            <w:gridSpan w:val="4"/>
            <w:tcBorders>
              <w:top w:val="nil"/>
              <w:left w:val="single" w:sz="48" w:space="0" w:color="EE0000"/>
              <w:bottom w:val="single" w:sz="18" w:space="0" w:color="EE0000"/>
              <w:right w:val="single" w:sz="4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83A1F" w14:textId="77777777" w:rsidR="00000000" w:rsidRDefault="00162208">
            <w:pPr>
              <w:pStyle w:val="StandardWeb"/>
              <w:spacing w:before="80" w:beforeAutospacing="0" w:after="40" w:afterAutospacing="0"/>
              <w:jc w:val="center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Gefahrstoffbezeichnung</w:t>
            </w:r>
          </w:p>
        </w:tc>
      </w:tr>
      <w:tr w:rsidR="00000000" w14:paraId="3D7D4A8A" w14:textId="77777777">
        <w:trPr>
          <w:trHeight w:val="293"/>
        </w:trPr>
        <w:tc>
          <w:tcPr>
            <w:tcW w:w="5000" w:type="pct"/>
            <w:gridSpan w:val="4"/>
            <w:tcBorders>
              <w:top w:val="nil"/>
              <w:left w:val="single" w:sz="48" w:space="0" w:color="EE0000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48CB620C" w14:textId="77777777" w:rsidR="00000000" w:rsidRDefault="00162208">
            <w:pPr>
              <w:pStyle w:val="Standard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etolit Reiniger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</w:tr>
      <w:tr w:rsidR="00000000" w14:paraId="78F39093" w14:textId="77777777">
        <w:trPr>
          <w:trHeight w:val="250"/>
        </w:trPr>
        <w:tc>
          <w:tcPr>
            <w:tcW w:w="833" w:type="pct"/>
            <w:tcBorders>
              <w:top w:val="nil"/>
              <w:left w:val="single" w:sz="48" w:space="0" w:color="EE0000"/>
              <w:bottom w:val="single" w:sz="18" w:space="0" w:color="EE0000"/>
              <w:right w:val="nil"/>
            </w:tcBorders>
            <w:vAlign w:val="center"/>
            <w:hideMark/>
          </w:tcPr>
          <w:p w14:paraId="0AA1645B" w14:textId="77777777" w:rsidR="00000000" w:rsidRDefault="001622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6C93B0D3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Gefahren für Mensch und Umwelt</w:t>
            </w:r>
          </w:p>
        </w:tc>
      </w:tr>
      <w:tr w:rsidR="00000000" w14:paraId="70730360" w14:textId="77777777">
        <w:trPr>
          <w:trHeight w:val="2468"/>
        </w:trPr>
        <w:tc>
          <w:tcPr>
            <w:tcW w:w="833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E5668" w14:textId="77777777" w:rsidR="00000000" w:rsidRDefault="001622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231E25" wp14:editId="24485ACB">
                  <wp:extent cx="800100" cy="8001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6CFE036" wp14:editId="6FD92F83">
                  <wp:extent cx="800100" cy="8001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5A91F" w14:textId="77777777" w:rsidR="00000000" w:rsidRDefault="00162208">
            <w:pPr>
              <w:pStyle w:val="StandardWeb"/>
              <w:spacing w:before="48" w:beforeAutospacing="0" w:after="48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Gefahr</w:t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5760632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Gesundheitsschädlich bei Verschlucken. (H302)</w:t>
            </w:r>
            <w:r>
              <w:rPr>
                <w:rFonts w:ascii="Arial" w:hAnsi="Arial" w:cs="Arial"/>
                <w:sz w:val="18"/>
                <w:szCs w:val="18"/>
              </w:rPr>
              <w:br/>
              <w:t>Verursacht schwere Verätzungen der Haut und schwere Augenschäden. (</w:t>
            </w:r>
            <w:r>
              <w:rPr>
                <w:rFonts w:ascii="Arial" w:hAnsi="Arial" w:cs="Arial"/>
                <w:sz w:val="18"/>
                <w:szCs w:val="18"/>
              </w:rPr>
              <w:t>H314)</w:t>
            </w:r>
            <w:r>
              <w:rPr>
                <w:rFonts w:ascii="Arial" w:hAnsi="Arial" w:cs="Arial"/>
                <w:sz w:val="18"/>
                <w:szCs w:val="18"/>
              </w:rPr>
              <w:br/>
              <w:t>Kann die Atemwege reizen. (H335)</w:t>
            </w:r>
            <w:r>
              <w:rPr>
                <w:rFonts w:ascii="Arial" w:hAnsi="Arial" w:cs="Arial"/>
                <w:sz w:val="18"/>
                <w:szCs w:val="18"/>
              </w:rPr>
              <w:br/>
              <w:t>Schädlich für Wasserorganismen, mit langfristiger Wirkung. (H412)</w:t>
            </w:r>
          </w:p>
          <w:p w14:paraId="3BD87046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Gefahr irreversibler </w:t>
            </w:r>
            <w:r>
              <w:rPr>
                <w:rFonts w:ascii="Arial" w:hAnsi="Arial" w:cs="Arial"/>
                <w:sz w:val="18"/>
                <w:szCs w:val="18"/>
              </w:rPr>
              <w:t>Schäden am Auge durch Verätzungen! Vorübergehend Kopfschmerzen, Schwindel, Übelkeit und Konzentrationsstörungen möglich.</w:t>
            </w:r>
          </w:p>
          <w:p w14:paraId="79580B89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Gefährliche Reaktionen am Arbeitsplatz sind möglich mit: </w:t>
            </w:r>
            <w:r>
              <w:rPr>
                <w:rFonts w:ascii="Arial" w:hAnsi="Arial" w:cs="Arial"/>
                <w:sz w:val="18"/>
                <w:szCs w:val="18"/>
              </w:rPr>
              <w:t xml:space="preserve"> Das Produkt selbst brennt nicht. Entwickelt bei Berührung mit Säure giftige G</w:t>
            </w:r>
            <w:r>
              <w:rPr>
                <w:rFonts w:ascii="Arial" w:hAnsi="Arial" w:cs="Arial"/>
                <w:sz w:val="18"/>
                <w:szCs w:val="18"/>
              </w:rPr>
              <w:t>ase.</w:t>
            </w:r>
          </w:p>
          <w:p w14:paraId="41BF8C5E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Zersetzungsprodukte:</w:t>
            </w:r>
            <w:r>
              <w:rPr>
                <w:rFonts w:ascii="Arial" w:hAnsi="Arial" w:cs="Arial"/>
                <w:sz w:val="18"/>
                <w:szCs w:val="18"/>
              </w:rPr>
              <w:t xml:space="preserve"> Chlor</w:t>
            </w:r>
          </w:p>
          <w:p w14:paraId="6C78C6E4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Gefahren für die Umwelt: </w:t>
            </w:r>
            <w:r>
              <w:rPr>
                <w:rFonts w:ascii="Arial" w:hAnsi="Arial" w:cs="Arial"/>
                <w:sz w:val="18"/>
                <w:szCs w:val="18"/>
              </w:rPr>
              <w:t xml:space="preserve"> Schwach wassergefährdend (WGK 1)</w:t>
            </w:r>
          </w:p>
        </w:tc>
      </w:tr>
      <w:tr w:rsidR="00000000" w14:paraId="18FC21D0" w14:textId="77777777">
        <w:trPr>
          <w:trHeight w:val="250"/>
        </w:trPr>
        <w:tc>
          <w:tcPr>
            <w:tcW w:w="833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07555F1B" w14:textId="77777777" w:rsidR="00000000" w:rsidRDefault="001622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167" w:type="pct"/>
            <w:gridSpan w:val="3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712E5191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Schutzmassnahmen und Verhaltensregeln</w:t>
            </w:r>
          </w:p>
        </w:tc>
      </w:tr>
      <w:tr w:rsidR="00000000" w14:paraId="1FFA7699" w14:textId="77777777">
        <w:trPr>
          <w:trHeight w:val="1895"/>
        </w:trPr>
        <w:tc>
          <w:tcPr>
            <w:tcW w:w="833" w:type="pct"/>
            <w:vMerge w:val="restar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9DF0A" w14:textId="77777777" w:rsidR="00000000" w:rsidRDefault="001622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00A1C2" wp14:editId="054A8258">
                  <wp:extent cx="714375" cy="71437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16772EFB" wp14:editId="755211D2">
                  <wp:extent cx="714375" cy="7143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5EDE3821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Stäuben Absaugung einschalten und i</w:t>
            </w:r>
            <w:r>
              <w:rPr>
                <w:rFonts w:ascii="Arial" w:hAnsi="Arial" w:cs="Arial"/>
                <w:sz w:val="18"/>
                <w:szCs w:val="18"/>
              </w:rPr>
              <w:t xml:space="preserve">n ihrem Wirkungsbereich arbeiten. Gefäße nicht offen stehen lassen. </w:t>
            </w:r>
            <w:r>
              <w:rPr>
                <w:rFonts w:ascii="Arial" w:hAnsi="Arial" w:cs="Arial"/>
                <w:sz w:val="18"/>
                <w:szCs w:val="18"/>
              </w:rPr>
              <w:br/>
              <w:t>Nicht essen, trinken, rauchen oder schnupfen. Einatmen von Stäuben vermeiden. Berührung mit Augen, Haut und Kleidung vermeiden. Nach Arbeitsende und vor jeder Pause Hände und andere versc</w:t>
            </w:r>
            <w:r>
              <w:rPr>
                <w:rFonts w:ascii="Arial" w:hAnsi="Arial" w:cs="Arial"/>
                <w:sz w:val="18"/>
                <w:szCs w:val="18"/>
              </w:rPr>
              <w:t xml:space="preserve">hmutzte Körperstellen gründlich reinigen. Hautpflegemittel verwenden. Straßenkleidung getrennt von Arbeitskleidung aufbewahren! </w:t>
            </w:r>
            <w:r>
              <w:rPr>
                <w:rFonts w:ascii="Arial" w:hAnsi="Arial" w:cs="Arial"/>
                <w:sz w:val="18"/>
                <w:szCs w:val="18"/>
              </w:rPr>
              <w:br/>
              <w:t>Behälter dicht geschlossen an einem gut gelüfteten Ort lagern.</w:t>
            </w:r>
          </w:p>
          <w:p w14:paraId="0E1C3E5B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Augenschutz: </w:t>
            </w:r>
            <w:r>
              <w:rPr>
                <w:rFonts w:ascii="Arial" w:hAnsi="Arial" w:cs="Arial"/>
                <w:sz w:val="18"/>
                <w:szCs w:val="18"/>
              </w:rPr>
              <w:t>Korbbrille!</w:t>
            </w:r>
          </w:p>
          <w:p w14:paraId="6C90DFE7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Handschutz: </w:t>
            </w:r>
            <w:r>
              <w:rPr>
                <w:rFonts w:ascii="Arial" w:hAnsi="Arial" w:cs="Arial"/>
                <w:sz w:val="18"/>
                <w:szCs w:val="18"/>
              </w:rPr>
              <w:t xml:space="preserve">Geprüfte </w:t>
            </w:r>
            <w:r>
              <w:rPr>
                <w:rFonts w:ascii="Arial" w:hAnsi="Arial" w:cs="Arial"/>
                <w:sz w:val="18"/>
                <w:szCs w:val="18"/>
              </w:rPr>
              <w:t>Schutzhandschuhe sind zu tragen EN ISO 374 Geeignetes Material: NBR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Nitrilkautschuk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&gt;0,2mm Durchbruchszeit: 480min Bei</w:t>
            </w:r>
          </w:p>
          <w:p w14:paraId="0CEA9FA0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Schutzkleidung:</w:t>
            </w:r>
            <w:r>
              <w:rPr>
                <w:rFonts w:ascii="Arial" w:hAnsi="Arial" w:cs="Arial"/>
                <w:sz w:val="18"/>
                <w:szCs w:val="18"/>
              </w:rPr>
              <w:t xml:space="preserve"> Saubere, trockene und eng anliegende Kleidung aus Naturfasern.</w:t>
            </w:r>
          </w:p>
        </w:tc>
      </w:tr>
      <w:tr w:rsidR="00000000" w14:paraId="619B7FF1" w14:textId="77777777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14:paraId="66A48B45" w14:textId="77777777" w:rsidR="00000000" w:rsidRDefault="00162208">
            <w:pPr>
              <w:rPr>
                <w:rFonts w:eastAsia="Times New Roman"/>
              </w:rPr>
            </w:pPr>
          </w:p>
        </w:tc>
        <w:tc>
          <w:tcPr>
            <w:tcW w:w="2803" w:type="pct"/>
            <w:gridSpan w:val="2"/>
            <w:tcBorders>
              <w:top w:val="single" w:sz="18" w:space="0" w:color="EE0000"/>
              <w:left w:val="single" w:sz="18" w:space="0" w:color="EE0000"/>
              <w:bottom w:val="single" w:sz="18" w:space="0" w:color="EE0000"/>
              <w:right w:val="nil"/>
            </w:tcBorders>
            <w:noWrap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517FBF0A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Verhalten im Gefahrfall</w:t>
            </w:r>
          </w:p>
        </w:tc>
        <w:tc>
          <w:tcPr>
            <w:tcW w:w="1364" w:type="pct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2CD0CED5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Feuerwehr </w:t>
            </w:r>
          </w:p>
        </w:tc>
      </w:tr>
      <w:tr w:rsidR="00000000" w14:paraId="421F551A" w14:textId="77777777">
        <w:trPr>
          <w:trHeight w:val="904"/>
        </w:trPr>
        <w:tc>
          <w:tcPr>
            <w:tcW w:w="0" w:type="auto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14:paraId="25883418" w14:textId="77777777" w:rsidR="00000000" w:rsidRDefault="00162208">
            <w:pPr>
              <w:rPr>
                <w:rFonts w:eastAsia="Times New Roman"/>
              </w:rPr>
            </w:pPr>
          </w:p>
        </w:tc>
        <w:tc>
          <w:tcPr>
            <w:tcW w:w="4167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754333A3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Gefahrenbereich räumen und absperren, Vorgesetzten informieren. Bei der Beseitigung von ausgelaufenem/verschütteten Produkt immer Schutzbrille, Handschuhe sowie bei größeren Mengen Atemschutz tragen. Unter Staubvermeidung aufnehmen und entsorgen! Produkt b</w:t>
            </w:r>
            <w:r>
              <w:rPr>
                <w:rFonts w:ascii="Arial" w:hAnsi="Arial" w:cs="Arial"/>
                <w:sz w:val="18"/>
                <w:szCs w:val="18"/>
              </w:rPr>
              <w:t xml:space="preserve">rennt unter normalen Umständen nicht. Im Brandfall Löschmaßnahmen auf Umgebung abstimmen. Bei Brand entstehen gefährliche Dämpfe. Alarm-, Flucht- und Rettungspläne beachten. Feuerwehr alarmieren. </w:t>
            </w:r>
          </w:p>
          <w:p w14:paraId="2E20F9E3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Zuständiger Arzt: </w:t>
            </w:r>
          </w:p>
        </w:tc>
      </w:tr>
      <w:tr w:rsidR="00000000" w14:paraId="363FE43C" w14:textId="77777777">
        <w:trPr>
          <w:trHeight w:val="250"/>
        </w:trPr>
        <w:tc>
          <w:tcPr>
            <w:tcW w:w="833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4710A5E7" w14:textId="77777777" w:rsidR="00000000" w:rsidRDefault="001622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03" w:type="pct"/>
            <w:gridSpan w:val="2"/>
            <w:tcBorders>
              <w:top w:val="single" w:sz="18" w:space="0" w:color="EE0000"/>
              <w:left w:val="nil"/>
              <w:bottom w:val="single" w:sz="18" w:space="0" w:color="EE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64B9787D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Erste Hilfe</w:t>
            </w:r>
          </w:p>
        </w:tc>
        <w:tc>
          <w:tcPr>
            <w:tcW w:w="1364" w:type="pct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3A5050FE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Notruf </w:t>
            </w:r>
          </w:p>
        </w:tc>
      </w:tr>
      <w:tr w:rsidR="00000000" w14:paraId="346E6BB3" w14:textId="77777777">
        <w:trPr>
          <w:trHeight w:val="2237"/>
        </w:trPr>
        <w:tc>
          <w:tcPr>
            <w:tcW w:w="833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3A1F8" w14:textId="77777777" w:rsidR="00000000" w:rsidRDefault="001622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829FCB" wp14:editId="76392E59">
                  <wp:extent cx="714375" cy="71437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0E098E93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Bei jeder Erste-Hilfe-Maßnahme: </w:t>
            </w:r>
            <w:r>
              <w:rPr>
                <w:rFonts w:ascii="Arial" w:hAnsi="Arial" w:cs="Arial"/>
                <w:sz w:val="18"/>
                <w:szCs w:val="18"/>
              </w:rPr>
              <w:t>Auf Selbstschutz achten. Lebensrettende Sofortmaßnahmen, wie "</w:t>
            </w:r>
            <w:r>
              <w:rPr>
                <w:rFonts w:ascii="Arial" w:hAnsi="Arial" w:cs="Arial"/>
                <w:sz w:val="18"/>
                <w:szCs w:val="18"/>
              </w:rPr>
              <w:t xml:space="preserve">Stabile Seitenlage", "Herz-Lungen-Wiederbelebung", "Schockbekämpfung" situationsabhängig durchführen. Ärztliche bzw. augenärztliche Behandlung. </w:t>
            </w:r>
          </w:p>
          <w:p w14:paraId="1FAF4AF6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Nach Augenkontakt: Sofort unter Schutz des unverletzten Auges ausgiebig (ca. 10 Minuten) bei geöffneten Lidern </w:t>
            </w:r>
            <w:r>
              <w:rPr>
                <w:rFonts w:ascii="Arial" w:hAnsi="Arial" w:cs="Arial"/>
                <w:sz w:val="18"/>
                <w:szCs w:val="18"/>
              </w:rPr>
              <w:t xml:space="preserve">mit Wasser spülen. Nach Augenkontakt immer augenärztliche Behandlung. </w:t>
            </w:r>
          </w:p>
          <w:p w14:paraId="22DB83A1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Hautkontakt: </w:t>
            </w:r>
            <w:r>
              <w:rPr>
                <w:rFonts w:ascii="Arial" w:hAnsi="Arial" w:cs="Arial"/>
                <w:sz w:val="18"/>
                <w:szCs w:val="18"/>
              </w:rPr>
              <w:t xml:space="preserve">Haut mit viel Wasser spülen. </w:t>
            </w:r>
          </w:p>
          <w:p w14:paraId="5A557D2C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Einatmen: </w:t>
            </w:r>
            <w:r>
              <w:rPr>
                <w:rFonts w:ascii="Arial" w:hAnsi="Arial" w:cs="Arial"/>
                <w:sz w:val="18"/>
                <w:szCs w:val="18"/>
              </w:rPr>
              <w:t xml:space="preserve"> Verletzten unter Selbstschutz aus dem </w:t>
            </w:r>
            <w:r>
              <w:rPr>
                <w:rFonts w:ascii="Arial" w:hAnsi="Arial" w:cs="Arial"/>
                <w:sz w:val="18"/>
                <w:szCs w:val="18"/>
              </w:rPr>
              <w:t xml:space="preserve">Gefahrenbereich bringen (Achtung: der Verletzte sollte - wenn möglich - getragen oder gefahren werden, Lagerung mit erhöhtem Oberkörper). Bei Atemnot Sauerstoff inhalieren lassen. </w:t>
            </w:r>
          </w:p>
          <w:p w14:paraId="1CAFD7FB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Verschlucken: </w:t>
            </w:r>
            <w:r>
              <w:rPr>
                <w:rFonts w:ascii="Arial" w:hAnsi="Arial" w:cs="Arial"/>
                <w:sz w:val="18"/>
                <w:szCs w:val="18"/>
              </w:rPr>
              <w:t xml:space="preserve">Sofortiges kräftiges Ausspülen des Mundes. </w:t>
            </w:r>
          </w:p>
          <w:p w14:paraId="20FD673E" w14:textId="77777777" w:rsidR="00000000" w:rsidRDefault="00162208">
            <w:pPr>
              <w:pStyle w:val="StandardWeb"/>
              <w:spacing w:before="75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Ersthelfer: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0000" w14:paraId="20188FE7" w14:textId="77777777">
        <w:trPr>
          <w:trHeight w:val="250"/>
        </w:trPr>
        <w:tc>
          <w:tcPr>
            <w:tcW w:w="833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14:paraId="0B267205" w14:textId="77777777" w:rsidR="00000000" w:rsidRDefault="001622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167" w:type="pct"/>
            <w:gridSpan w:val="3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5CF0E1F0" w14:textId="77777777" w:rsidR="00000000" w:rsidRDefault="001622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Sachgerechte Entsorgung</w:t>
            </w:r>
          </w:p>
        </w:tc>
      </w:tr>
      <w:tr w:rsidR="00000000" w14:paraId="5BD64ECE" w14:textId="77777777">
        <w:trPr>
          <w:trHeight w:val="261"/>
        </w:trPr>
        <w:tc>
          <w:tcPr>
            <w:tcW w:w="833" w:type="pct"/>
            <w:tcBorders>
              <w:top w:val="nil"/>
              <w:left w:val="single" w:sz="48" w:space="0" w:color="EE0000"/>
              <w:bottom w:val="single" w:sz="48" w:space="0" w:color="EE0000"/>
              <w:right w:val="nil"/>
            </w:tcBorders>
            <w:hideMark/>
          </w:tcPr>
          <w:p w14:paraId="695550FB" w14:textId="77777777" w:rsidR="00000000" w:rsidRDefault="001622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single" w:sz="4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14:paraId="091092A4" w14:textId="77777777" w:rsidR="00000000" w:rsidRDefault="00162208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Wegen einer Abfallentsorgung den zuständigen zugelassenen Entsorger ansprechen.</w:t>
            </w:r>
          </w:p>
        </w:tc>
      </w:tr>
    </w:tbl>
    <w:p w14:paraId="479A1BA3" w14:textId="77777777" w:rsidR="00000000" w:rsidRDefault="00162208">
      <w:pPr>
        <w:rPr>
          <w:rFonts w:eastAsia="Times New Roman"/>
        </w:rPr>
      </w:pP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8"/>
    <w:rsid w:val="001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D81B1"/>
  <w15:chartTrackingRefBased/>
  <w15:docId w15:val="{D5332D68-04C1-4FA3-A5AC-5883196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Standard"/>
    <w:uiPriority w:val="99"/>
    <w:semiHidden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ischem.de/images/symbole/erste_hilf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gischem.de/images/symbole/handschuh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ischem.de/images/symbole/schutzbrille.gif" TargetMode="External"/><Relationship Id="rId5" Type="http://schemas.openxmlformats.org/officeDocument/2006/relationships/image" Target="https://www.gischem.de/images/ghs100/GHS07.jpg" TargetMode="External"/><Relationship Id="rId10" Type="http://schemas.openxmlformats.org/officeDocument/2006/relationships/theme" Target="theme/theme1.xml"/><Relationship Id="rId4" Type="http://schemas.openxmlformats.org/officeDocument/2006/relationships/image" Target="https://www.gischem.de/images/ghs100/GHS05.jpg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2620</Characters>
  <Application>Microsoft Office Word</Application>
  <DocSecurity>0</DocSecurity>
  <Lines>21</Lines>
  <Paragraphs>5</Paragraphs>
  <ScaleCrop>false</ScaleCrop>
  <Company>etol Eberhard Tripp GmbH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Gand, Daniel</dc:creator>
  <cp:keywords/>
  <dc:description/>
  <cp:lastModifiedBy>Gand, Daniel</cp:lastModifiedBy>
  <cp:revision>2</cp:revision>
  <dcterms:created xsi:type="dcterms:W3CDTF">2023-05-31T06:43:00Z</dcterms:created>
  <dcterms:modified xsi:type="dcterms:W3CDTF">2023-05-31T06:43:00Z</dcterms:modified>
</cp:coreProperties>
</file>